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3BE625CC"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8941F1">
        <w:rPr>
          <w:rFonts w:ascii="Arial" w:hAnsi="Arial" w:cs="Arial"/>
          <w:b/>
          <w:sz w:val="24"/>
          <w:szCs w:val="24"/>
        </w:rPr>
        <w:t>9-e</w:t>
      </w:r>
      <w:r w:rsidRPr="0008103A">
        <w:rPr>
          <w:rFonts w:ascii="Arial" w:hAnsi="Arial" w:cs="Arial"/>
          <w:b/>
          <w:sz w:val="24"/>
          <w:szCs w:val="24"/>
        </w:rPr>
        <w:tab/>
      </w:r>
      <w:r w:rsidRPr="0008103A">
        <w:rPr>
          <w:rFonts w:ascii="Arial" w:hAnsi="Arial" w:cs="Arial"/>
          <w:b/>
          <w:sz w:val="24"/>
          <w:szCs w:val="24"/>
        </w:rPr>
        <w:tab/>
      </w:r>
      <w:r w:rsidR="008D5731" w:rsidRPr="008D5731">
        <w:rPr>
          <w:rFonts w:ascii="Arial" w:hAnsi="Arial" w:cs="Arial"/>
          <w:b/>
          <w:sz w:val="24"/>
          <w:szCs w:val="24"/>
        </w:rPr>
        <w:t>R4-2110842</w:t>
      </w:r>
      <w:bookmarkStart w:id="0" w:name="_GoBack"/>
      <w:bookmarkEnd w:id="0"/>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682097">
        <w:rPr>
          <w:rFonts w:ascii="Arial" w:hAnsi="Arial" w:cs="Arial"/>
          <w:b/>
          <w:noProof/>
          <w:sz w:val="24"/>
          <w:lang w:eastAsia="ja-JP"/>
        </w:rPr>
        <w:t>1</w:t>
      </w:r>
      <w:r w:rsidR="00B2591E">
        <w:rPr>
          <w:rFonts w:ascii="Arial" w:hAnsi="Arial" w:cs="Arial"/>
          <w:b/>
          <w:noProof/>
          <w:sz w:val="24"/>
          <w:lang w:eastAsia="ja-JP"/>
        </w:rPr>
        <w:t>9</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B2591E">
        <w:rPr>
          <w:rFonts w:ascii="Arial" w:hAnsi="Arial" w:cs="Arial"/>
          <w:b/>
          <w:noProof/>
          <w:sz w:val="24"/>
          <w:lang w:eastAsia="ja-JP"/>
        </w:rPr>
        <w:t>May</w:t>
      </w:r>
      <w:r w:rsidRPr="00D0286B">
        <w:rPr>
          <w:rFonts w:ascii="Arial" w:hAnsi="Arial" w:cs="Arial"/>
          <w:b/>
          <w:noProof/>
          <w:sz w:val="24"/>
          <w:lang w:eastAsia="ja-JP"/>
        </w:rPr>
        <w:t xml:space="preserve"> – </w:t>
      </w:r>
      <w:r w:rsidR="00682097">
        <w:rPr>
          <w:rFonts w:ascii="Arial" w:hAnsi="Arial" w:cs="Arial"/>
          <w:b/>
          <w:noProof/>
          <w:sz w:val="24"/>
          <w:lang w:eastAsia="ja-JP"/>
        </w:rPr>
        <w:t>2</w:t>
      </w:r>
      <w:r w:rsidR="00B2591E">
        <w:rPr>
          <w:rFonts w:ascii="Arial" w:hAnsi="Arial" w:cs="Arial"/>
          <w:b/>
          <w:noProof/>
          <w:sz w:val="24"/>
          <w:lang w:eastAsia="ja-JP"/>
        </w:rPr>
        <w:t>7</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B2591E">
        <w:rPr>
          <w:rFonts w:ascii="Arial" w:hAnsi="Arial" w:cs="Arial"/>
          <w:b/>
          <w:noProof/>
          <w:sz w:val="24"/>
          <w:lang w:eastAsia="ja-JP"/>
        </w:rPr>
        <w:t>May</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1"/>
    </w:p>
    <w:p w14:paraId="15F9AFC9" w14:textId="13262BC9"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84BDD">
        <w:rPr>
          <w:rFonts w:ascii="Arial" w:hAnsi="Arial" w:cs="Arial"/>
          <w:b/>
          <w:sz w:val="24"/>
          <w:szCs w:val="24"/>
        </w:rPr>
        <w:t>9</w:t>
      </w:r>
      <w:r w:rsidR="00FD3EF1">
        <w:rPr>
          <w:rFonts w:ascii="Arial" w:hAnsi="Arial" w:cs="Arial"/>
          <w:b/>
          <w:sz w:val="24"/>
          <w:szCs w:val="24"/>
        </w:rPr>
        <w:t>.</w:t>
      </w:r>
      <w:r w:rsidR="008C042E">
        <w:rPr>
          <w:rFonts w:ascii="Arial" w:hAnsi="Arial" w:cs="Arial"/>
          <w:b/>
          <w:sz w:val="24"/>
          <w:szCs w:val="24"/>
        </w:rPr>
        <w:t>2</w:t>
      </w:r>
      <w:r w:rsidR="00FD3EF1">
        <w:rPr>
          <w:rFonts w:ascii="Arial" w:hAnsi="Arial" w:cs="Arial"/>
          <w:b/>
          <w:sz w:val="24"/>
          <w:szCs w:val="24"/>
        </w:rPr>
        <w:t>.</w:t>
      </w:r>
      <w:r w:rsidR="001A32BD">
        <w:rPr>
          <w:rFonts w:ascii="Arial" w:hAnsi="Arial" w:cs="Arial"/>
          <w:b/>
          <w:sz w:val="24"/>
          <w:szCs w:val="24"/>
        </w:rPr>
        <w:t>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69D5791C" w:rsidR="0003021C" w:rsidRPr="00784BDD" w:rsidRDefault="0003021C" w:rsidP="0003021C">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A2D5A">
        <w:rPr>
          <w:rFonts w:ascii="Arial" w:hAnsi="Arial" w:cs="Arial"/>
          <w:b/>
          <w:sz w:val="24"/>
          <w:szCs w:val="24"/>
        </w:rPr>
        <w:t xml:space="preserve">Power setting for </w:t>
      </w:r>
      <w:r w:rsidR="00784BDD" w:rsidRPr="00784BDD">
        <w:rPr>
          <w:rFonts w:ascii="Arial" w:hAnsi="Arial" w:cs="Arial"/>
          <w:b/>
          <w:sz w:val="24"/>
          <w:szCs w:val="24"/>
        </w:rPr>
        <w:t>EN-DC test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67208F1F" w14:textId="2C209AE9" w:rsidR="00DE74EB" w:rsidRDefault="00DE74EB" w:rsidP="00FB282B">
      <w:pPr>
        <w:jc w:val="both"/>
        <w:rPr>
          <w:rFonts w:eastAsiaTheme="minorEastAsia"/>
          <w:lang w:eastAsia="zh-CN"/>
        </w:rPr>
      </w:pPr>
      <w:r>
        <w:rPr>
          <w:rFonts w:eastAsia="Batang"/>
        </w:rPr>
        <w:t>A new Work Item on FR1 TRP TRS was approved in the meeting of RAN #91-e [1].</w:t>
      </w:r>
      <w:r w:rsidR="005A4B0B">
        <w:rPr>
          <w:rFonts w:eastAsia="Batang"/>
        </w:rPr>
        <w:t xml:space="preserve"> As initiating the core part discussion, this paper presents our consideration and proposal on power configuration for EN-DC (1 CC LTE with 1 CC NR).</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0D5B9B66" w14:textId="556F04CD" w:rsidR="004C5E18" w:rsidRDefault="004C5E18" w:rsidP="00FB282B">
      <w:pPr>
        <w:rPr>
          <w:rFonts w:eastAsia="宋体"/>
          <w:lang w:eastAsia="zh-CN"/>
        </w:rPr>
      </w:pPr>
      <w:r>
        <w:rPr>
          <w:rFonts w:eastAsia="宋体"/>
          <w:lang w:eastAsia="zh-CN"/>
        </w:rPr>
        <w:t>For the UE</w:t>
      </w:r>
      <w:r w:rsidR="009140ED">
        <w:rPr>
          <w:rFonts w:eastAsia="宋体"/>
          <w:lang w:eastAsia="zh-CN"/>
        </w:rPr>
        <w:t>s</w:t>
      </w:r>
      <w:r>
        <w:rPr>
          <w:rFonts w:eastAsia="宋体"/>
          <w:lang w:eastAsia="zh-CN"/>
        </w:rPr>
        <w:t xml:space="preserve"> </w:t>
      </w:r>
      <w:r w:rsidR="009140ED">
        <w:rPr>
          <w:rFonts w:eastAsia="宋体"/>
          <w:lang w:eastAsia="zh-CN"/>
        </w:rPr>
        <w:t xml:space="preserve">which do not support Dynamic Power Sharing, the traditional procedure can be used to </w:t>
      </w:r>
      <w:r w:rsidR="009140ED" w:rsidRPr="002A5923">
        <w:rPr>
          <w:rFonts w:hint="eastAsia"/>
        </w:rPr>
        <w:t>ensure that the DUT transmits with its maximum power</w:t>
      </w:r>
      <w:r w:rsidR="009140ED">
        <w:t xml:space="preserve"> as described in TS 36.521-1 below.</w:t>
      </w:r>
    </w:p>
    <w:p w14:paraId="16094165" w14:textId="0872AA6F" w:rsidR="009140ED" w:rsidRDefault="009140ED" w:rsidP="009140ED">
      <w:pPr>
        <w:jc w:val="center"/>
        <w:rPr>
          <w:rFonts w:eastAsia="宋体"/>
          <w:lang w:eastAsia="zh-CN"/>
        </w:rPr>
      </w:pPr>
      <w:r>
        <w:rPr>
          <w:noProof/>
          <w:lang w:val="en-US" w:eastAsia="zh-CN"/>
        </w:rPr>
        <w:drawing>
          <wp:inline distT="0" distB="0" distL="0" distR="0" wp14:anchorId="320115DA" wp14:editId="1C3D2158">
            <wp:extent cx="6120130" cy="1786890"/>
            <wp:effectExtent l="19050" t="19050" r="13970" b="228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786890"/>
                    </a:xfrm>
                    <a:prstGeom prst="rect">
                      <a:avLst/>
                    </a:prstGeom>
                    <a:ln>
                      <a:solidFill>
                        <a:schemeClr val="tx1"/>
                      </a:solidFill>
                    </a:ln>
                  </pic:spPr>
                </pic:pic>
              </a:graphicData>
            </a:graphic>
          </wp:inline>
        </w:drawing>
      </w:r>
    </w:p>
    <w:p w14:paraId="39E6EB41" w14:textId="04DD4A58" w:rsidR="009140ED" w:rsidRDefault="009140ED" w:rsidP="00FB282B">
      <w:pPr>
        <w:rPr>
          <w:rFonts w:eastAsia="宋体"/>
          <w:lang w:eastAsia="zh-CN"/>
        </w:rPr>
      </w:pPr>
      <w:r>
        <w:rPr>
          <w:rFonts w:eastAsia="宋体"/>
          <w:lang w:eastAsia="zh-CN"/>
        </w:rPr>
        <w:t>For the UEs which support Dynamic Power Sharing, the transmitted power on NR will be affected by the power transmitted on LTE side</w:t>
      </w:r>
      <w:r w:rsidR="0035376F">
        <w:rPr>
          <w:rFonts w:eastAsia="宋体"/>
          <w:lang w:eastAsia="zh-CN"/>
        </w:rPr>
        <w:t xml:space="preserve"> considering the total allowed transmit power is restricted by Power Class level</w:t>
      </w:r>
      <w:r>
        <w:rPr>
          <w:rFonts w:eastAsia="宋体"/>
          <w:lang w:eastAsia="zh-CN"/>
        </w:rPr>
        <w:t>.</w:t>
      </w:r>
      <w:r w:rsidR="0035376F">
        <w:rPr>
          <w:rFonts w:eastAsia="宋体"/>
          <w:lang w:eastAsia="zh-CN"/>
        </w:rPr>
        <w:t xml:space="preserve"> Therefore, the power on LTE side should be controlled under a reasonable range.</w:t>
      </w:r>
    </w:p>
    <w:p w14:paraId="3879C572" w14:textId="30D125CF" w:rsidR="00270EF5" w:rsidRDefault="00270EF5" w:rsidP="00FB282B">
      <w:pPr>
        <w:rPr>
          <w:rFonts w:eastAsia="宋体"/>
          <w:lang w:eastAsia="zh-CN"/>
        </w:rPr>
      </w:pPr>
      <w:r>
        <w:rPr>
          <w:rFonts w:eastAsia="宋体"/>
          <w:lang w:eastAsia="zh-CN"/>
        </w:rPr>
        <w:t>The proposed configuration is setting P</w:t>
      </w:r>
      <w:r>
        <w:rPr>
          <w:rFonts w:eastAsia="宋体"/>
          <w:vertAlign w:val="subscript"/>
          <w:lang w:eastAsia="zh-CN"/>
        </w:rPr>
        <w:t>max</w:t>
      </w:r>
      <w:r>
        <w:rPr>
          <w:rFonts w:eastAsia="宋体"/>
          <w:lang w:eastAsia="zh-CN"/>
        </w:rPr>
        <w:t xml:space="preserve"> of LTE as half of maximum output power for EN-DC defined in TS 38.101-3 Table 6.2B.1.3-1. The reason of this proposal is based on the scenario that LTE and NR have similar network coverage in the field, and therefore the two radio link of LTE and NR have similar transmit power.</w:t>
      </w:r>
    </w:p>
    <w:p w14:paraId="24E30C9B" w14:textId="75634BCD" w:rsidR="00427B61" w:rsidRPr="00270EF5" w:rsidRDefault="00427B61" w:rsidP="00427B61">
      <w:pPr>
        <w:rPr>
          <w:rFonts w:eastAsiaTheme="minorEastAsia"/>
          <w:b/>
          <w:lang w:eastAsia="zh-CN"/>
        </w:rPr>
      </w:pPr>
      <w:r w:rsidRPr="00270EF5">
        <w:rPr>
          <w:rFonts w:eastAsiaTheme="minorEastAsia" w:hint="eastAsia"/>
          <w:b/>
          <w:lang w:eastAsia="zh-CN"/>
        </w:rPr>
        <w:t>P</w:t>
      </w:r>
      <w:r w:rsidRPr="00270EF5">
        <w:rPr>
          <w:rFonts w:eastAsiaTheme="minorEastAsia"/>
          <w:b/>
          <w:lang w:eastAsia="zh-CN"/>
        </w:rPr>
        <w:t>roposal:</w:t>
      </w:r>
      <w:r w:rsidR="00270EF5" w:rsidRPr="00270EF5">
        <w:rPr>
          <w:rFonts w:eastAsiaTheme="minorEastAsia"/>
          <w:b/>
          <w:lang w:eastAsia="zh-CN"/>
        </w:rPr>
        <w:t xml:space="preserve"> the power configuration</w:t>
      </w:r>
      <w:r w:rsidR="00270EF5">
        <w:rPr>
          <w:rFonts w:eastAsiaTheme="minorEastAsia"/>
          <w:b/>
          <w:lang w:eastAsia="zh-CN"/>
        </w:rPr>
        <w:t xml:space="preserve"> for EN-DC</w:t>
      </w:r>
      <w:r w:rsidR="00270EF5" w:rsidRPr="00270EF5">
        <w:rPr>
          <w:rFonts w:eastAsiaTheme="minorEastAsia"/>
          <w:b/>
          <w:lang w:eastAsia="zh-CN"/>
        </w:rPr>
        <w:t xml:space="preserve"> is </w:t>
      </w:r>
      <w:r w:rsidR="00270EF5" w:rsidRPr="00270EF5">
        <w:rPr>
          <w:rFonts w:eastAsia="宋体"/>
          <w:b/>
          <w:lang w:eastAsia="zh-CN"/>
        </w:rPr>
        <w:t>setting P</w:t>
      </w:r>
      <w:r w:rsidR="00270EF5" w:rsidRPr="00270EF5">
        <w:rPr>
          <w:rFonts w:eastAsia="宋体"/>
          <w:b/>
          <w:vertAlign w:val="subscript"/>
          <w:lang w:eastAsia="zh-CN"/>
        </w:rPr>
        <w:t>max</w:t>
      </w:r>
      <w:r w:rsidR="00270EF5" w:rsidRPr="00270EF5">
        <w:rPr>
          <w:rFonts w:eastAsia="宋体"/>
          <w:b/>
          <w:lang w:eastAsia="zh-CN"/>
        </w:rPr>
        <w:t xml:space="preserve"> of LTE as half of maximum output power for EN-DC defined in TS 38.101-3 Table 6.2B.1.3-1.</w:t>
      </w:r>
    </w:p>
    <w:p w14:paraId="6753F8E1" w14:textId="77777777" w:rsidR="00AC4265" w:rsidRPr="00626166" w:rsidRDefault="00AC4265" w:rsidP="00626166">
      <w:pPr>
        <w:rPr>
          <w:rFonts w:eastAsiaTheme="minorEastAsia"/>
          <w:b/>
          <w:lang w:eastAsia="zh-CN"/>
        </w:rPr>
      </w:pPr>
    </w:p>
    <w:p w14:paraId="6BF80878" w14:textId="013E9949" w:rsidR="004B3C0C" w:rsidRDefault="004B3C0C" w:rsidP="004B3C0C">
      <w:pPr>
        <w:pStyle w:val="1"/>
        <w:rPr>
          <w:rFonts w:eastAsia="宋体"/>
          <w:lang w:eastAsia="zh-CN"/>
        </w:rPr>
      </w:pPr>
      <w:r>
        <w:lastRenderedPageBreak/>
        <w:t>3</w:t>
      </w:r>
      <w:r w:rsidRPr="00647B25">
        <w:tab/>
      </w:r>
      <w:r>
        <w:rPr>
          <w:rFonts w:eastAsia="宋体" w:hint="eastAsia"/>
          <w:lang w:eastAsia="zh-CN"/>
        </w:rPr>
        <w:t>Conclusion</w:t>
      </w:r>
    </w:p>
    <w:p w14:paraId="49B45E45" w14:textId="2A16AFFD" w:rsidR="00270EF5" w:rsidRPr="00270EF5" w:rsidRDefault="00270EF5" w:rsidP="00270EF5">
      <w:pPr>
        <w:rPr>
          <w:rFonts w:eastAsiaTheme="minorEastAsia"/>
          <w:b/>
          <w:lang w:eastAsia="zh-CN"/>
        </w:rPr>
      </w:pPr>
      <w:r w:rsidRPr="00270EF5">
        <w:rPr>
          <w:rFonts w:eastAsiaTheme="minorEastAsia" w:hint="eastAsia"/>
          <w:b/>
          <w:lang w:eastAsia="zh-CN"/>
        </w:rPr>
        <w:t>P</w:t>
      </w:r>
      <w:r w:rsidRPr="00270EF5">
        <w:rPr>
          <w:rFonts w:eastAsiaTheme="minorEastAsia"/>
          <w:b/>
          <w:lang w:eastAsia="zh-CN"/>
        </w:rPr>
        <w:t>roposal: the power configuration</w:t>
      </w:r>
      <w:r>
        <w:rPr>
          <w:rFonts w:eastAsiaTheme="minorEastAsia"/>
          <w:b/>
          <w:lang w:eastAsia="zh-CN"/>
        </w:rPr>
        <w:t xml:space="preserve"> for EN-DC</w:t>
      </w:r>
      <w:r w:rsidRPr="00270EF5">
        <w:rPr>
          <w:rFonts w:eastAsiaTheme="minorEastAsia"/>
          <w:b/>
          <w:lang w:eastAsia="zh-CN"/>
        </w:rPr>
        <w:t xml:space="preserve"> is </w:t>
      </w:r>
      <w:r w:rsidRPr="00270EF5">
        <w:rPr>
          <w:rFonts w:eastAsia="宋体"/>
          <w:b/>
          <w:lang w:eastAsia="zh-CN"/>
        </w:rPr>
        <w:t>setting P</w:t>
      </w:r>
      <w:r w:rsidRPr="00270EF5">
        <w:rPr>
          <w:rFonts w:eastAsia="宋体"/>
          <w:b/>
          <w:vertAlign w:val="subscript"/>
          <w:lang w:eastAsia="zh-CN"/>
        </w:rPr>
        <w:t>max</w:t>
      </w:r>
      <w:r w:rsidRPr="00270EF5">
        <w:rPr>
          <w:rFonts w:eastAsia="宋体"/>
          <w:b/>
          <w:lang w:eastAsia="zh-CN"/>
        </w:rPr>
        <w:t xml:space="preserve"> of LTE as half of maximum output power for EN-DC defined in TS 38.101-3 Table 6.2B.1.3-1.</w:t>
      </w:r>
    </w:p>
    <w:p w14:paraId="2B19C93F" w14:textId="77777777" w:rsidR="002D0367" w:rsidRPr="00A44705" w:rsidRDefault="002D0367" w:rsidP="002D0367">
      <w:pPr>
        <w:pStyle w:val="1"/>
        <w:ind w:left="0" w:firstLine="0"/>
        <w:rPr>
          <w:rFonts w:eastAsia="宋体"/>
          <w:lang w:eastAsia="zh-CN"/>
        </w:rPr>
      </w:pPr>
      <w:r>
        <w:t>References</w:t>
      </w:r>
    </w:p>
    <w:p w14:paraId="65B2B786" w14:textId="4C7F6C02" w:rsidR="00FC2A77" w:rsidRDefault="005A4B0B" w:rsidP="00FB282B">
      <w:pPr>
        <w:pStyle w:val="EX"/>
        <w:numPr>
          <w:ilvl w:val="0"/>
          <w:numId w:val="1"/>
        </w:numPr>
        <w:ind w:left="284" w:firstLine="0"/>
        <w:rPr>
          <w:rFonts w:eastAsiaTheme="minorEastAsia"/>
          <w:lang w:eastAsia="zh-CN"/>
        </w:rPr>
      </w:pPr>
      <w:r w:rsidRPr="009D7623">
        <w:t>RP-210807</w:t>
      </w:r>
      <w:r w:rsidRPr="003B76E4">
        <w:t xml:space="preserve">, </w:t>
      </w:r>
      <w:r w:rsidRPr="009D7623">
        <w:t>New WID: Introduction of UE TRP (Total Radiated Power) and TRS (Total Radiated Sensitivity) requirements and test methodologies for FR1 (NR SA and EN-DC)</w:t>
      </w:r>
    </w:p>
    <w:p w14:paraId="04C1C5D7" w14:textId="436A5001" w:rsidR="00252441" w:rsidRPr="00323B95" w:rsidRDefault="00252441" w:rsidP="00270EF5">
      <w:pPr>
        <w:pStyle w:val="EX"/>
        <w:ind w:left="284" w:firstLine="0"/>
        <w:rPr>
          <w:rFonts w:eastAsiaTheme="minorEastAsia"/>
          <w:lang w:eastAsia="zh-CN"/>
        </w:rPr>
      </w:pPr>
    </w:p>
    <w:sectPr w:rsidR="00252441"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19896" w14:textId="77777777" w:rsidR="00C02BF0" w:rsidRDefault="00C02BF0" w:rsidP="0003021C">
      <w:pPr>
        <w:spacing w:after="0"/>
      </w:pPr>
      <w:r>
        <w:separator/>
      </w:r>
    </w:p>
  </w:endnote>
  <w:endnote w:type="continuationSeparator" w:id="0">
    <w:p w14:paraId="6F6540FF" w14:textId="77777777" w:rsidR="00C02BF0" w:rsidRDefault="00C02BF0"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D7006" w14:textId="77777777" w:rsidR="00C02BF0" w:rsidRDefault="00C02BF0" w:rsidP="0003021C">
      <w:pPr>
        <w:spacing w:after="0"/>
      </w:pPr>
      <w:r>
        <w:separator/>
      </w:r>
    </w:p>
  </w:footnote>
  <w:footnote w:type="continuationSeparator" w:id="0">
    <w:p w14:paraId="3D61542B" w14:textId="77777777" w:rsidR="00C02BF0" w:rsidRDefault="00C02BF0"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2498D"/>
    <w:rsid w:val="0003021C"/>
    <w:rsid w:val="000358BC"/>
    <w:rsid w:val="00045525"/>
    <w:rsid w:val="00054E76"/>
    <w:rsid w:val="00055B54"/>
    <w:rsid w:val="00067EF1"/>
    <w:rsid w:val="00093D9E"/>
    <w:rsid w:val="0009553E"/>
    <w:rsid w:val="00096952"/>
    <w:rsid w:val="000A4E3C"/>
    <w:rsid w:val="000B480B"/>
    <w:rsid w:val="000E2B0A"/>
    <w:rsid w:val="000E4110"/>
    <w:rsid w:val="000E4413"/>
    <w:rsid w:val="00103338"/>
    <w:rsid w:val="0010771F"/>
    <w:rsid w:val="00107B65"/>
    <w:rsid w:val="0011447B"/>
    <w:rsid w:val="00130D44"/>
    <w:rsid w:val="00145BF3"/>
    <w:rsid w:val="00156AB2"/>
    <w:rsid w:val="0016054E"/>
    <w:rsid w:val="0017411A"/>
    <w:rsid w:val="0018728C"/>
    <w:rsid w:val="001A223F"/>
    <w:rsid w:val="001A32BD"/>
    <w:rsid w:val="001A447D"/>
    <w:rsid w:val="001D56FE"/>
    <w:rsid w:val="001E082D"/>
    <w:rsid w:val="001E528F"/>
    <w:rsid w:val="001F637F"/>
    <w:rsid w:val="00214C02"/>
    <w:rsid w:val="00215E3A"/>
    <w:rsid w:val="002206B1"/>
    <w:rsid w:val="002466C5"/>
    <w:rsid w:val="00251CC5"/>
    <w:rsid w:val="00252441"/>
    <w:rsid w:val="002529CD"/>
    <w:rsid w:val="002553AA"/>
    <w:rsid w:val="002618BA"/>
    <w:rsid w:val="00262BB5"/>
    <w:rsid w:val="00265877"/>
    <w:rsid w:val="00265B4F"/>
    <w:rsid w:val="002666EB"/>
    <w:rsid w:val="00270EF5"/>
    <w:rsid w:val="00287A5F"/>
    <w:rsid w:val="002A389C"/>
    <w:rsid w:val="002A5AAC"/>
    <w:rsid w:val="002D0367"/>
    <w:rsid w:val="002D7EEA"/>
    <w:rsid w:val="002F2025"/>
    <w:rsid w:val="002F4DBF"/>
    <w:rsid w:val="00305776"/>
    <w:rsid w:val="0031165B"/>
    <w:rsid w:val="00323B95"/>
    <w:rsid w:val="0035376F"/>
    <w:rsid w:val="00357AAD"/>
    <w:rsid w:val="0037096C"/>
    <w:rsid w:val="00372596"/>
    <w:rsid w:val="00376766"/>
    <w:rsid w:val="00384E5B"/>
    <w:rsid w:val="003956E2"/>
    <w:rsid w:val="003C1B40"/>
    <w:rsid w:val="003F1079"/>
    <w:rsid w:val="003F158B"/>
    <w:rsid w:val="00400F3F"/>
    <w:rsid w:val="00403B6D"/>
    <w:rsid w:val="00411BC2"/>
    <w:rsid w:val="00411E50"/>
    <w:rsid w:val="00415E1A"/>
    <w:rsid w:val="0042087B"/>
    <w:rsid w:val="00420F98"/>
    <w:rsid w:val="0042777D"/>
    <w:rsid w:val="00427B61"/>
    <w:rsid w:val="0043660B"/>
    <w:rsid w:val="00440EF6"/>
    <w:rsid w:val="004536D4"/>
    <w:rsid w:val="004664DD"/>
    <w:rsid w:val="00474BD0"/>
    <w:rsid w:val="004803EC"/>
    <w:rsid w:val="00481688"/>
    <w:rsid w:val="00482E50"/>
    <w:rsid w:val="00486AE0"/>
    <w:rsid w:val="00487E7C"/>
    <w:rsid w:val="0049290F"/>
    <w:rsid w:val="004A108A"/>
    <w:rsid w:val="004B3C0C"/>
    <w:rsid w:val="004C5E18"/>
    <w:rsid w:val="004D4E7B"/>
    <w:rsid w:val="004E0CEE"/>
    <w:rsid w:val="004E6D83"/>
    <w:rsid w:val="00501EB2"/>
    <w:rsid w:val="00510DAC"/>
    <w:rsid w:val="00517B59"/>
    <w:rsid w:val="0052285E"/>
    <w:rsid w:val="00547795"/>
    <w:rsid w:val="0056483B"/>
    <w:rsid w:val="00564BBA"/>
    <w:rsid w:val="005656FC"/>
    <w:rsid w:val="00566BE0"/>
    <w:rsid w:val="00567280"/>
    <w:rsid w:val="00570694"/>
    <w:rsid w:val="00573F93"/>
    <w:rsid w:val="0058483A"/>
    <w:rsid w:val="00585221"/>
    <w:rsid w:val="00591D26"/>
    <w:rsid w:val="00596856"/>
    <w:rsid w:val="0059688D"/>
    <w:rsid w:val="005A259C"/>
    <w:rsid w:val="005A4B0B"/>
    <w:rsid w:val="005B6BC1"/>
    <w:rsid w:val="005C034D"/>
    <w:rsid w:val="005C4DFA"/>
    <w:rsid w:val="005D21AA"/>
    <w:rsid w:val="005D367D"/>
    <w:rsid w:val="005D5DBB"/>
    <w:rsid w:val="005E059A"/>
    <w:rsid w:val="005E78CD"/>
    <w:rsid w:val="005F2A66"/>
    <w:rsid w:val="00602100"/>
    <w:rsid w:val="00614AEE"/>
    <w:rsid w:val="00614EE8"/>
    <w:rsid w:val="00615922"/>
    <w:rsid w:val="00621185"/>
    <w:rsid w:val="00625321"/>
    <w:rsid w:val="00626166"/>
    <w:rsid w:val="00631AE6"/>
    <w:rsid w:val="00631F03"/>
    <w:rsid w:val="00645643"/>
    <w:rsid w:val="00664622"/>
    <w:rsid w:val="006678A6"/>
    <w:rsid w:val="0068171A"/>
    <w:rsid w:val="00682097"/>
    <w:rsid w:val="00686D8A"/>
    <w:rsid w:val="00687FD1"/>
    <w:rsid w:val="00693B17"/>
    <w:rsid w:val="006C2B90"/>
    <w:rsid w:val="006E59F0"/>
    <w:rsid w:val="00705ECE"/>
    <w:rsid w:val="0073566C"/>
    <w:rsid w:val="007373AF"/>
    <w:rsid w:val="00737F7D"/>
    <w:rsid w:val="00761CA2"/>
    <w:rsid w:val="00770B89"/>
    <w:rsid w:val="007726E6"/>
    <w:rsid w:val="007764CE"/>
    <w:rsid w:val="00784BDD"/>
    <w:rsid w:val="00791CBB"/>
    <w:rsid w:val="007C3534"/>
    <w:rsid w:val="007D5C83"/>
    <w:rsid w:val="007E0B30"/>
    <w:rsid w:val="007E40B0"/>
    <w:rsid w:val="007F009F"/>
    <w:rsid w:val="007F37FE"/>
    <w:rsid w:val="008053AB"/>
    <w:rsid w:val="008144EC"/>
    <w:rsid w:val="00815183"/>
    <w:rsid w:val="0082608F"/>
    <w:rsid w:val="008336F3"/>
    <w:rsid w:val="008352C1"/>
    <w:rsid w:val="00841297"/>
    <w:rsid w:val="00853384"/>
    <w:rsid w:val="008559B8"/>
    <w:rsid w:val="0087017B"/>
    <w:rsid w:val="00871374"/>
    <w:rsid w:val="008941F1"/>
    <w:rsid w:val="008B7240"/>
    <w:rsid w:val="008C042E"/>
    <w:rsid w:val="008C3254"/>
    <w:rsid w:val="008D18D2"/>
    <w:rsid w:val="008D5731"/>
    <w:rsid w:val="008E2D4C"/>
    <w:rsid w:val="008E591A"/>
    <w:rsid w:val="008F13E1"/>
    <w:rsid w:val="008F2736"/>
    <w:rsid w:val="008F679C"/>
    <w:rsid w:val="00902570"/>
    <w:rsid w:val="00905C13"/>
    <w:rsid w:val="00907364"/>
    <w:rsid w:val="00910A92"/>
    <w:rsid w:val="00913ED4"/>
    <w:rsid w:val="009140ED"/>
    <w:rsid w:val="00921D13"/>
    <w:rsid w:val="00924F4E"/>
    <w:rsid w:val="009261BD"/>
    <w:rsid w:val="00927CA7"/>
    <w:rsid w:val="0094229E"/>
    <w:rsid w:val="00950C25"/>
    <w:rsid w:val="00951FC4"/>
    <w:rsid w:val="00963040"/>
    <w:rsid w:val="009716E4"/>
    <w:rsid w:val="00974222"/>
    <w:rsid w:val="00991F01"/>
    <w:rsid w:val="00992EB9"/>
    <w:rsid w:val="009A12A8"/>
    <w:rsid w:val="009A1576"/>
    <w:rsid w:val="009A1DF5"/>
    <w:rsid w:val="009A32CE"/>
    <w:rsid w:val="009B3381"/>
    <w:rsid w:val="009B5B64"/>
    <w:rsid w:val="009C042F"/>
    <w:rsid w:val="009C1AFB"/>
    <w:rsid w:val="009C541C"/>
    <w:rsid w:val="009C6D0C"/>
    <w:rsid w:val="009D2FF0"/>
    <w:rsid w:val="009D69D2"/>
    <w:rsid w:val="009E06F3"/>
    <w:rsid w:val="00A14DDA"/>
    <w:rsid w:val="00A24DE7"/>
    <w:rsid w:val="00A30765"/>
    <w:rsid w:val="00A32C90"/>
    <w:rsid w:val="00A479BB"/>
    <w:rsid w:val="00A51699"/>
    <w:rsid w:val="00A53FC0"/>
    <w:rsid w:val="00A649A4"/>
    <w:rsid w:val="00A75DE6"/>
    <w:rsid w:val="00A80B08"/>
    <w:rsid w:val="00A86C91"/>
    <w:rsid w:val="00A925E0"/>
    <w:rsid w:val="00A9526C"/>
    <w:rsid w:val="00A95389"/>
    <w:rsid w:val="00A95390"/>
    <w:rsid w:val="00A97485"/>
    <w:rsid w:val="00AC4265"/>
    <w:rsid w:val="00AE2291"/>
    <w:rsid w:val="00AF3250"/>
    <w:rsid w:val="00B0494B"/>
    <w:rsid w:val="00B07F65"/>
    <w:rsid w:val="00B10C7F"/>
    <w:rsid w:val="00B13C39"/>
    <w:rsid w:val="00B23AD5"/>
    <w:rsid w:val="00B2591E"/>
    <w:rsid w:val="00B2676A"/>
    <w:rsid w:val="00B30A98"/>
    <w:rsid w:val="00B329C7"/>
    <w:rsid w:val="00B36AFE"/>
    <w:rsid w:val="00B43366"/>
    <w:rsid w:val="00B43D9C"/>
    <w:rsid w:val="00B44F79"/>
    <w:rsid w:val="00B462C5"/>
    <w:rsid w:val="00B4774F"/>
    <w:rsid w:val="00B52047"/>
    <w:rsid w:val="00B52F7E"/>
    <w:rsid w:val="00B53F18"/>
    <w:rsid w:val="00B82F96"/>
    <w:rsid w:val="00B96A4E"/>
    <w:rsid w:val="00B976CD"/>
    <w:rsid w:val="00BD7A49"/>
    <w:rsid w:val="00BE135A"/>
    <w:rsid w:val="00C02BF0"/>
    <w:rsid w:val="00C06AFF"/>
    <w:rsid w:val="00C07C51"/>
    <w:rsid w:val="00C318E4"/>
    <w:rsid w:val="00C360EF"/>
    <w:rsid w:val="00C43232"/>
    <w:rsid w:val="00C543E0"/>
    <w:rsid w:val="00C564D7"/>
    <w:rsid w:val="00C63066"/>
    <w:rsid w:val="00C76EBF"/>
    <w:rsid w:val="00C83F39"/>
    <w:rsid w:val="00CA2D5A"/>
    <w:rsid w:val="00CA3BBC"/>
    <w:rsid w:val="00CB57CB"/>
    <w:rsid w:val="00CB583F"/>
    <w:rsid w:val="00CB7B07"/>
    <w:rsid w:val="00CC445C"/>
    <w:rsid w:val="00CD0308"/>
    <w:rsid w:val="00CE077A"/>
    <w:rsid w:val="00CE12DE"/>
    <w:rsid w:val="00CE5B6F"/>
    <w:rsid w:val="00CE789C"/>
    <w:rsid w:val="00CF0964"/>
    <w:rsid w:val="00D04830"/>
    <w:rsid w:val="00D06550"/>
    <w:rsid w:val="00D15999"/>
    <w:rsid w:val="00D32F40"/>
    <w:rsid w:val="00D420B7"/>
    <w:rsid w:val="00D54BD6"/>
    <w:rsid w:val="00D678F8"/>
    <w:rsid w:val="00D74A01"/>
    <w:rsid w:val="00D846FB"/>
    <w:rsid w:val="00D92565"/>
    <w:rsid w:val="00D95049"/>
    <w:rsid w:val="00DA4748"/>
    <w:rsid w:val="00DA4C3E"/>
    <w:rsid w:val="00DB3813"/>
    <w:rsid w:val="00DD0B3B"/>
    <w:rsid w:val="00DD38F0"/>
    <w:rsid w:val="00DD67F7"/>
    <w:rsid w:val="00DE0DA1"/>
    <w:rsid w:val="00DE2503"/>
    <w:rsid w:val="00DE74EB"/>
    <w:rsid w:val="00DF2DCA"/>
    <w:rsid w:val="00DF6A20"/>
    <w:rsid w:val="00DF76FA"/>
    <w:rsid w:val="00E165E9"/>
    <w:rsid w:val="00E24C95"/>
    <w:rsid w:val="00E25DBD"/>
    <w:rsid w:val="00E30AFB"/>
    <w:rsid w:val="00E43D38"/>
    <w:rsid w:val="00E474CE"/>
    <w:rsid w:val="00E5000C"/>
    <w:rsid w:val="00E5652B"/>
    <w:rsid w:val="00E60178"/>
    <w:rsid w:val="00E64760"/>
    <w:rsid w:val="00EB7FA3"/>
    <w:rsid w:val="00EC2338"/>
    <w:rsid w:val="00EE046C"/>
    <w:rsid w:val="00EE14A0"/>
    <w:rsid w:val="00EE4BBE"/>
    <w:rsid w:val="00EE5F9D"/>
    <w:rsid w:val="00EF4652"/>
    <w:rsid w:val="00EF6D09"/>
    <w:rsid w:val="00F00275"/>
    <w:rsid w:val="00F028EE"/>
    <w:rsid w:val="00F23B26"/>
    <w:rsid w:val="00F30333"/>
    <w:rsid w:val="00F43101"/>
    <w:rsid w:val="00F61C0F"/>
    <w:rsid w:val="00F63246"/>
    <w:rsid w:val="00F63F87"/>
    <w:rsid w:val="00F65DEB"/>
    <w:rsid w:val="00F76ACB"/>
    <w:rsid w:val="00F91DA6"/>
    <w:rsid w:val="00FA6822"/>
    <w:rsid w:val="00FB282B"/>
    <w:rsid w:val="00FC2A77"/>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EF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61636236">
      <w:bodyDiv w:val="1"/>
      <w:marLeft w:val="0"/>
      <w:marRight w:val="0"/>
      <w:marTop w:val="0"/>
      <w:marBottom w:val="0"/>
      <w:divBdr>
        <w:top w:val="none" w:sz="0" w:space="0" w:color="auto"/>
        <w:left w:val="none" w:sz="0" w:space="0" w:color="auto"/>
        <w:bottom w:val="none" w:sz="0" w:space="0" w:color="auto"/>
        <w:right w:val="none" w:sz="0" w:space="0" w:color="auto"/>
      </w:divBdr>
    </w:div>
    <w:div w:id="133761789">
      <w:bodyDiv w:val="1"/>
      <w:marLeft w:val="0"/>
      <w:marRight w:val="0"/>
      <w:marTop w:val="0"/>
      <w:marBottom w:val="0"/>
      <w:divBdr>
        <w:top w:val="none" w:sz="0" w:space="0" w:color="auto"/>
        <w:left w:val="none" w:sz="0" w:space="0" w:color="auto"/>
        <w:bottom w:val="none" w:sz="0" w:space="0" w:color="auto"/>
        <w:right w:val="none" w:sz="0" w:space="0" w:color="auto"/>
      </w:divBdr>
    </w:div>
    <w:div w:id="223419596">
      <w:bodyDiv w:val="1"/>
      <w:marLeft w:val="0"/>
      <w:marRight w:val="0"/>
      <w:marTop w:val="0"/>
      <w:marBottom w:val="0"/>
      <w:divBdr>
        <w:top w:val="none" w:sz="0" w:space="0" w:color="auto"/>
        <w:left w:val="none" w:sz="0" w:space="0" w:color="auto"/>
        <w:bottom w:val="none" w:sz="0" w:space="0" w:color="auto"/>
        <w:right w:val="none" w:sz="0" w:space="0" w:color="auto"/>
      </w:divBdr>
    </w:div>
    <w:div w:id="308243730">
      <w:bodyDiv w:val="1"/>
      <w:marLeft w:val="0"/>
      <w:marRight w:val="0"/>
      <w:marTop w:val="0"/>
      <w:marBottom w:val="0"/>
      <w:divBdr>
        <w:top w:val="none" w:sz="0" w:space="0" w:color="auto"/>
        <w:left w:val="none" w:sz="0" w:space="0" w:color="auto"/>
        <w:bottom w:val="none" w:sz="0" w:space="0" w:color="auto"/>
        <w:right w:val="none" w:sz="0" w:space="0" w:color="auto"/>
      </w:divBdr>
    </w:div>
    <w:div w:id="342980532">
      <w:bodyDiv w:val="1"/>
      <w:marLeft w:val="0"/>
      <w:marRight w:val="0"/>
      <w:marTop w:val="0"/>
      <w:marBottom w:val="0"/>
      <w:divBdr>
        <w:top w:val="none" w:sz="0" w:space="0" w:color="auto"/>
        <w:left w:val="none" w:sz="0" w:space="0" w:color="auto"/>
        <w:bottom w:val="none" w:sz="0" w:space="0" w:color="auto"/>
        <w:right w:val="none" w:sz="0" w:space="0" w:color="auto"/>
      </w:divBdr>
    </w:div>
    <w:div w:id="702024962">
      <w:bodyDiv w:val="1"/>
      <w:marLeft w:val="0"/>
      <w:marRight w:val="0"/>
      <w:marTop w:val="0"/>
      <w:marBottom w:val="0"/>
      <w:divBdr>
        <w:top w:val="none" w:sz="0" w:space="0" w:color="auto"/>
        <w:left w:val="none" w:sz="0" w:space="0" w:color="auto"/>
        <w:bottom w:val="none" w:sz="0" w:space="0" w:color="auto"/>
        <w:right w:val="none" w:sz="0" w:space="0" w:color="auto"/>
      </w:divBdr>
    </w:div>
    <w:div w:id="764112546">
      <w:bodyDiv w:val="1"/>
      <w:marLeft w:val="0"/>
      <w:marRight w:val="0"/>
      <w:marTop w:val="0"/>
      <w:marBottom w:val="0"/>
      <w:divBdr>
        <w:top w:val="none" w:sz="0" w:space="0" w:color="auto"/>
        <w:left w:val="none" w:sz="0" w:space="0" w:color="auto"/>
        <w:bottom w:val="none" w:sz="0" w:space="0" w:color="auto"/>
        <w:right w:val="none" w:sz="0" w:space="0" w:color="auto"/>
      </w:divBdr>
    </w:div>
    <w:div w:id="777867667">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904295307">
      <w:bodyDiv w:val="1"/>
      <w:marLeft w:val="0"/>
      <w:marRight w:val="0"/>
      <w:marTop w:val="0"/>
      <w:marBottom w:val="0"/>
      <w:divBdr>
        <w:top w:val="none" w:sz="0" w:space="0" w:color="auto"/>
        <w:left w:val="none" w:sz="0" w:space="0" w:color="auto"/>
        <w:bottom w:val="none" w:sz="0" w:space="0" w:color="auto"/>
        <w:right w:val="none" w:sz="0" w:space="0" w:color="auto"/>
      </w:divBdr>
    </w:div>
    <w:div w:id="931402772">
      <w:bodyDiv w:val="1"/>
      <w:marLeft w:val="0"/>
      <w:marRight w:val="0"/>
      <w:marTop w:val="0"/>
      <w:marBottom w:val="0"/>
      <w:divBdr>
        <w:top w:val="none" w:sz="0" w:space="0" w:color="auto"/>
        <w:left w:val="none" w:sz="0" w:space="0" w:color="auto"/>
        <w:bottom w:val="none" w:sz="0" w:space="0" w:color="auto"/>
        <w:right w:val="none" w:sz="0" w:space="0" w:color="auto"/>
      </w:divBdr>
    </w:div>
    <w:div w:id="976880472">
      <w:bodyDiv w:val="1"/>
      <w:marLeft w:val="0"/>
      <w:marRight w:val="0"/>
      <w:marTop w:val="0"/>
      <w:marBottom w:val="0"/>
      <w:divBdr>
        <w:top w:val="none" w:sz="0" w:space="0" w:color="auto"/>
        <w:left w:val="none" w:sz="0" w:space="0" w:color="auto"/>
        <w:bottom w:val="none" w:sz="0" w:space="0" w:color="auto"/>
        <w:right w:val="none" w:sz="0" w:space="0" w:color="auto"/>
      </w:divBdr>
    </w:div>
    <w:div w:id="195679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C0E8-41A9-4C38-936A-CEE1C083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8122</TotalTime>
  <Pages>2</Pages>
  <Words>257</Words>
  <Characters>1469</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52</cp:revision>
  <dcterms:created xsi:type="dcterms:W3CDTF">2020-08-05T10:51:00Z</dcterms:created>
  <dcterms:modified xsi:type="dcterms:W3CDTF">2021-05-11T14:15:00Z</dcterms:modified>
</cp:coreProperties>
</file>